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62" w:rsidRDefault="00C3410F">
      <w:pPr>
        <w:spacing w:line="288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10604500</wp:posOffset>
            </wp:positionV>
            <wp:extent cx="368300" cy="304800"/>
            <wp:effectExtent l="0" t="0" r="1270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0000" w:themeColor="text1"/>
          <w:sz w:val="32"/>
          <w:szCs w:val="32"/>
        </w:rPr>
        <w:t>2022</w:t>
      </w:r>
      <w:r>
        <w:rPr>
          <w:rFonts w:ascii="宋体" w:hAnsi="宋体"/>
          <w:b/>
          <w:color w:val="000000" w:themeColor="text1"/>
          <w:sz w:val="32"/>
          <w:szCs w:val="32"/>
        </w:rPr>
        <w:t>年普通高等学校招生全国统一考试（全国甲卷）</w:t>
      </w:r>
    </w:p>
    <w:p w:rsidR="00470962" w:rsidRDefault="00C3410F">
      <w:pPr>
        <w:spacing w:line="288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t>地理</w:t>
      </w:r>
    </w:p>
    <w:p w:rsidR="00470962" w:rsidRDefault="00C3410F">
      <w:pPr>
        <w:pStyle w:val="a8"/>
        <w:widowControl/>
        <w:spacing w:beforeAutospacing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Style w:val="a9"/>
          <w:rFonts w:ascii="宋体" w:eastAsia="宋体" w:hAnsi="宋体"/>
          <w:color w:val="000000"/>
          <w:sz w:val="21"/>
          <w:szCs w:val="21"/>
        </w:rPr>
        <w:t>一、选择题：本题共</w:t>
      </w:r>
      <w:r>
        <w:rPr>
          <w:rStyle w:val="a9"/>
          <w:rFonts w:ascii="宋体" w:eastAsia="宋体" w:hAnsi="宋体"/>
          <w:color w:val="000000"/>
          <w:sz w:val="21"/>
          <w:szCs w:val="21"/>
        </w:rPr>
        <w:t>11</w:t>
      </w:r>
      <w:r>
        <w:rPr>
          <w:rStyle w:val="a9"/>
          <w:rFonts w:ascii="宋体" w:eastAsia="宋体" w:hAnsi="宋体"/>
          <w:color w:val="000000"/>
          <w:sz w:val="21"/>
          <w:szCs w:val="21"/>
        </w:rPr>
        <w:t>小题，每小题</w:t>
      </w:r>
      <w:r>
        <w:rPr>
          <w:rStyle w:val="a9"/>
          <w:rFonts w:ascii="宋体" w:eastAsia="宋体" w:hAnsi="宋体"/>
          <w:color w:val="000000"/>
          <w:sz w:val="21"/>
          <w:szCs w:val="21"/>
        </w:rPr>
        <w:t>4</w:t>
      </w:r>
      <w:r>
        <w:rPr>
          <w:rStyle w:val="a9"/>
          <w:rFonts w:ascii="宋体" w:eastAsia="宋体" w:hAnsi="宋体"/>
          <w:color w:val="000000"/>
          <w:sz w:val="21"/>
          <w:szCs w:val="21"/>
        </w:rPr>
        <w:t>分，共</w:t>
      </w:r>
      <w:r>
        <w:rPr>
          <w:rStyle w:val="a9"/>
          <w:rFonts w:ascii="宋体" w:eastAsia="宋体" w:hAnsi="宋体"/>
          <w:color w:val="000000"/>
          <w:sz w:val="21"/>
          <w:szCs w:val="21"/>
        </w:rPr>
        <w:t>44</w:t>
      </w:r>
      <w:r>
        <w:rPr>
          <w:rStyle w:val="a9"/>
          <w:rFonts w:ascii="宋体" w:eastAsia="宋体" w:hAnsi="宋体"/>
          <w:color w:val="000000"/>
          <w:sz w:val="21"/>
          <w:szCs w:val="21"/>
        </w:rPr>
        <w:t>分。在每小题给出的四个选项中，只有一项是符合题目要求的。</w:t>
      </w:r>
    </w:p>
    <w:p w:rsidR="00470962" w:rsidRDefault="00C3410F">
      <w:pPr>
        <w:pStyle w:val="a8"/>
        <w:widowControl/>
        <w:spacing w:beforeAutospacing="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浙江</w:t>
      </w:r>
      <w:r>
        <w:rPr>
          <w:rFonts w:ascii="宋体" w:eastAsia="宋体" w:hAnsi="宋体"/>
          <w:sz w:val="21"/>
          <w:szCs w:val="21"/>
        </w:rPr>
        <w:t>S</w:t>
      </w:r>
      <w:r>
        <w:rPr>
          <w:rFonts w:ascii="宋体" w:eastAsia="宋体" w:hAnsi="宋体"/>
          <w:sz w:val="21"/>
          <w:szCs w:val="21"/>
        </w:rPr>
        <w:t>集团是一家研发和生产空调控制元件和零部件的企业，其生产的零部件占全球智能空调配件市场</w:t>
      </w:r>
      <w:r>
        <w:rPr>
          <w:rFonts w:ascii="宋体" w:eastAsia="宋体" w:hAnsi="宋体"/>
          <w:sz w:val="21"/>
          <w:szCs w:val="21"/>
        </w:rPr>
        <w:t>60%</w:t>
      </w:r>
      <w:r>
        <w:rPr>
          <w:rFonts w:ascii="宋体" w:eastAsia="宋体" w:hAnsi="宋体"/>
          <w:sz w:val="21"/>
          <w:szCs w:val="21"/>
        </w:rPr>
        <w:t>以上的份额。至</w:t>
      </w:r>
      <w:r>
        <w:rPr>
          <w:rFonts w:ascii="宋体" w:eastAsia="宋体" w:hAnsi="宋体"/>
          <w:sz w:val="21"/>
          <w:szCs w:val="21"/>
        </w:rPr>
        <w:t>2017</w:t>
      </w:r>
      <w:r>
        <w:rPr>
          <w:rFonts w:ascii="宋体" w:eastAsia="宋体" w:hAnsi="宋体"/>
          <w:sz w:val="21"/>
          <w:szCs w:val="21"/>
        </w:rPr>
        <w:t>年，</w:t>
      </w:r>
      <w:r>
        <w:rPr>
          <w:rFonts w:ascii="宋体" w:eastAsia="宋体" w:hAnsi="宋体"/>
          <w:sz w:val="21"/>
          <w:szCs w:val="21"/>
        </w:rPr>
        <w:t>S</w:t>
      </w:r>
      <w:r>
        <w:rPr>
          <w:rFonts w:ascii="宋体" w:eastAsia="宋体" w:hAnsi="宋体"/>
          <w:sz w:val="21"/>
          <w:szCs w:val="21"/>
        </w:rPr>
        <w:t>集团除国内工厂外，还在美国、墨西哥、波兰等国家建有工厂。其国内工厂生产的产品除供应国内市场外，还满足出口需求。</w:t>
      </w:r>
      <w:r>
        <w:rPr>
          <w:rFonts w:ascii="宋体" w:eastAsia="宋体" w:hAnsi="宋体"/>
          <w:sz w:val="21"/>
          <w:szCs w:val="21"/>
        </w:rPr>
        <w:t>2018</w:t>
      </w:r>
      <w:r>
        <w:rPr>
          <w:rFonts w:ascii="宋体" w:eastAsia="宋体" w:hAnsi="宋体"/>
          <w:sz w:val="21"/>
          <w:szCs w:val="21"/>
        </w:rPr>
        <w:t>年，在国内工厂产能饱和、订单不断增长的情况下，</w:t>
      </w:r>
      <w:r>
        <w:rPr>
          <w:rFonts w:ascii="宋体" w:eastAsia="宋体" w:hAnsi="宋体"/>
          <w:sz w:val="21"/>
          <w:szCs w:val="21"/>
        </w:rPr>
        <w:t>S</w:t>
      </w:r>
      <w:r>
        <w:rPr>
          <w:rFonts w:ascii="宋体" w:eastAsia="宋体" w:hAnsi="宋体"/>
          <w:sz w:val="21"/>
          <w:szCs w:val="21"/>
        </w:rPr>
        <w:t>集团入驻越南某工业园，在买地自建厂房的同时，租用厂房开展生产。据此完成</w:t>
      </w:r>
      <w:r>
        <w:rPr>
          <w:rFonts w:ascii="宋体" w:eastAsia="宋体" w:hAnsi="宋体"/>
          <w:sz w:val="21"/>
          <w:szCs w:val="21"/>
        </w:rPr>
        <w:t>1 ~ 3</w:t>
      </w:r>
      <w:r>
        <w:rPr>
          <w:rFonts w:ascii="宋体" w:eastAsia="宋体" w:hAnsi="宋体"/>
          <w:sz w:val="21"/>
          <w:szCs w:val="21"/>
        </w:rPr>
        <w:t>题。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影响</w:t>
      </w:r>
      <w:r>
        <w:rPr>
          <w:rFonts w:ascii="宋体" w:eastAsia="宋体" w:hAnsi="宋体"/>
          <w:sz w:val="21"/>
          <w:szCs w:val="21"/>
        </w:rPr>
        <w:t>S</w:t>
      </w:r>
      <w:r>
        <w:rPr>
          <w:rFonts w:ascii="宋体" w:eastAsia="宋体" w:hAnsi="宋体"/>
          <w:sz w:val="21"/>
          <w:szCs w:val="21"/>
        </w:rPr>
        <w:t>集团在美国、墨西哥、波兰等国家建厂的主要区位因素是（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．技术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．市场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．原材料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．劳动力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与国内建厂</w:t>
      </w:r>
      <w:r>
        <w:rPr>
          <w:rFonts w:ascii="宋体" w:eastAsia="宋体" w:hAnsi="宋体"/>
          <w:sz w:val="21"/>
          <w:szCs w:val="21"/>
        </w:rPr>
        <w:t>相比，</w:t>
      </w:r>
      <w:r>
        <w:rPr>
          <w:rFonts w:ascii="宋体" w:eastAsia="宋体" w:hAnsi="宋体"/>
          <w:sz w:val="21"/>
          <w:szCs w:val="21"/>
        </w:rPr>
        <w:t>S</w:t>
      </w:r>
      <w:r>
        <w:rPr>
          <w:rFonts w:ascii="宋体" w:eastAsia="宋体" w:hAnsi="宋体"/>
          <w:sz w:val="21"/>
          <w:szCs w:val="21"/>
        </w:rPr>
        <w:t>集团选择在越南建厂，可以（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．降低生产成本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．增加产品产量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．提高产品质量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．方便原料供应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．推测入驻越南的</w:t>
      </w:r>
      <w:r>
        <w:rPr>
          <w:rFonts w:ascii="宋体" w:eastAsia="宋体" w:hAnsi="宋体"/>
          <w:sz w:val="21"/>
          <w:szCs w:val="21"/>
        </w:rPr>
        <w:t>S</w:t>
      </w:r>
      <w:r>
        <w:rPr>
          <w:rFonts w:ascii="宋体" w:eastAsia="宋体" w:hAnsi="宋体"/>
          <w:sz w:val="21"/>
          <w:szCs w:val="21"/>
        </w:rPr>
        <w:t>集团在自建厂房的同时租用厂房的主要目的是（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．减少投资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．提升企业形象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．支持园区建设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．满足客户需求</w:t>
      </w:r>
    </w:p>
    <w:p w:rsidR="00470962" w:rsidRDefault="00C3410F">
      <w:pPr>
        <w:pStyle w:val="a8"/>
        <w:widowControl/>
        <w:spacing w:beforeAutospacing="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近年来，吉林、河南两省相继提出实施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秸秆变肉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工程和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秸秆变肉换奶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计划。一是重点推进秸秆饲料化进程（</w:t>
      </w:r>
      <w:r>
        <w:rPr>
          <w:rFonts w:ascii="宋体" w:eastAsia="宋体" w:hAnsi="宋体"/>
          <w:sz w:val="21"/>
          <w:szCs w:val="21"/>
        </w:rPr>
        <w:t>2021</w:t>
      </w:r>
      <w:r>
        <w:rPr>
          <w:rFonts w:ascii="宋体" w:eastAsia="宋体" w:hAnsi="宋体"/>
          <w:sz w:val="21"/>
          <w:szCs w:val="21"/>
        </w:rPr>
        <w:t>年吉林、河南秸秆产量分别为</w:t>
      </w:r>
      <w:r>
        <w:rPr>
          <w:rFonts w:ascii="宋体" w:eastAsia="宋体" w:hAnsi="宋体"/>
          <w:sz w:val="21"/>
          <w:szCs w:val="21"/>
        </w:rPr>
        <w:t>4000</w:t>
      </w:r>
      <w:r>
        <w:rPr>
          <w:rFonts w:ascii="宋体" w:eastAsia="宋体" w:hAnsi="宋体"/>
          <w:sz w:val="21"/>
          <w:szCs w:val="21"/>
        </w:rPr>
        <w:t>万吨和</w:t>
      </w:r>
      <w:r>
        <w:rPr>
          <w:rFonts w:ascii="宋体" w:eastAsia="宋体" w:hAnsi="宋体"/>
          <w:sz w:val="21"/>
          <w:szCs w:val="21"/>
        </w:rPr>
        <w:t>6550</w:t>
      </w:r>
      <w:r>
        <w:rPr>
          <w:rFonts w:ascii="宋体" w:eastAsia="宋体" w:hAnsi="宋体"/>
          <w:sz w:val="21"/>
          <w:szCs w:val="21"/>
        </w:rPr>
        <w:t>万吨）；二是稳妥推进具有良好经济与生态意义的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粮改饲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工作，即在玉米产区规模化种植青贮玉米、甜</w:t>
      </w:r>
      <w:r>
        <w:rPr>
          <w:rFonts w:ascii="宋体" w:eastAsia="宋体" w:hAnsi="宋体" w:hint="eastAsia"/>
          <w:sz w:val="21"/>
          <w:szCs w:val="21"/>
        </w:rPr>
        <w:t>高粱</w:t>
      </w:r>
      <w:r>
        <w:rPr>
          <w:rFonts w:ascii="宋体" w:eastAsia="宋体" w:hAnsi="宋体"/>
          <w:sz w:val="21"/>
          <w:szCs w:val="21"/>
        </w:rPr>
        <w:t>、苜蓿等饲料作物，以满足肉牛等发展需求。据此完成</w:t>
      </w:r>
      <w:r>
        <w:rPr>
          <w:rFonts w:ascii="宋体" w:eastAsia="宋体" w:hAnsi="宋体"/>
          <w:sz w:val="21"/>
          <w:szCs w:val="21"/>
        </w:rPr>
        <w:t>4 ~ 6</w:t>
      </w:r>
      <w:r>
        <w:rPr>
          <w:rFonts w:ascii="宋体" w:eastAsia="宋体" w:hAnsi="宋体"/>
          <w:sz w:val="21"/>
          <w:szCs w:val="21"/>
        </w:rPr>
        <w:t>题。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．导致吉林、河南两省年秸秆产量差异的主要因素是（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．年降水量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．作物结构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lastRenderedPageBreak/>
        <w:t>C</w:t>
      </w:r>
      <w:r>
        <w:rPr>
          <w:rFonts w:ascii="宋体" w:eastAsia="宋体" w:hAnsi="宋体"/>
          <w:sz w:val="21"/>
          <w:szCs w:val="21"/>
        </w:rPr>
        <w:t>．耕地质量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．作物熟制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．在玉米产区推广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粮改饲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的经济意义是（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．提高秸秆产量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．增加秸秆种类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．调整农牧结构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．推动种植技术进步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/>
          <w:sz w:val="21"/>
          <w:szCs w:val="21"/>
        </w:rPr>
        <w:t>．体现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粮改饲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生态意义的农事是（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/>
          <w:sz w:val="21"/>
          <w:szCs w:val="21"/>
        </w:rPr>
        <w:t>作物轮作</w:t>
      </w:r>
      <w:r>
        <w:rPr>
          <w:rFonts w:ascii="宋体" w:eastAsia="宋体" w:hAnsi="宋体"/>
          <w:sz w:val="21"/>
          <w:szCs w:val="21"/>
        </w:rPr>
        <w:t xml:space="preserve">    </w:t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/>
          <w:sz w:val="21"/>
          <w:szCs w:val="21"/>
        </w:rPr>
        <w:t>土壤深翻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/>
          <w:sz w:val="21"/>
          <w:szCs w:val="21"/>
        </w:rPr>
        <w:t>圈舍养殖</w:t>
      </w:r>
      <w:r>
        <w:rPr>
          <w:rFonts w:ascii="宋体" w:eastAsia="宋体" w:hAnsi="宋体"/>
          <w:sz w:val="21"/>
          <w:szCs w:val="21"/>
        </w:rPr>
        <w:t xml:space="preserve">    </w:t>
      </w:r>
      <w:r>
        <w:rPr>
          <w:rFonts w:ascii="宋体" w:eastAsia="宋体" w:hAnsi="宋体" w:cs="宋体" w:hint="eastAsia"/>
          <w:sz w:val="21"/>
          <w:szCs w:val="21"/>
        </w:rPr>
        <w:t>④</w:t>
      </w:r>
      <w:r>
        <w:rPr>
          <w:rFonts w:ascii="宋体" w:eastAsia="宋体" w:hAnsi="宋体"/>
          <w:sz w:val="21"/>
          <w:szCs w:val="21"/>
        </w:rPr>
        <w:t>土地平整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①③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①④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②③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②④</w:t>
      </w:r>
    </w:p>
    <w:p w:rsidR="00470962" w:rsidRDefault="00C3410F">
      <w:pPr>
        <w:pStyle w:val="a8"/>
        <w:widowControl/>
        <w:spacing w:beforeAutospacing="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图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示意北美东南部沿海冲积平原某区域</w:t>
      </w:r>
      <w:r>
        <w:rPr>
          <w:rFonts w:ascii="宋体" w:eastAsia="宋体" w:hAnsi="宋体"/>
          <w:sz w:val="21"/>
          <w:szCs w:val="21"/>
        </w:rPr>
        <w:t>1890</w:t>
      </w:r>
      <w:r>
        <w:rPr>
          <w:rFonts w:ascii="宋体" w:eastAsia="宋体" w:hAnsi="宋体"/>
          <w:sz w:val="21"/>
          <w:szCs w:val="21"/>
        </w:rPr>
        <w:t>年以来海岸线的变化。读图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，完成</w:t>
      </w:r>
      <w:r>
        <w:rPr>
          <w:rFonts w:ascii="宋体" w:eastAsia="宋体" w:hAnsi="宋体"/>
          <w:sz w:val="21"/>
          <w:szCs w:val="21"/>
        </w:rPr>
        <w:t>7 ~ 8</w:t>
      </w:r>
      <w:r>
        <w:rPr>
          <w:rFonts w:ascii="宋体" w:eastAsia="宋体" w:hAnsi="宋体"/>
          <w:sz w:val="21"/>
          <w:szCs w:val="21"/>
        </w:rPr>
        <w:t>题。</w:t>
      </w:r>
    </w:p>
    <w:p w:rsidR="00470962" w:rsidRDefault="00C3410F">
      <w:pPr>
        <w:widowControl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597910" cy="1866900"/>
            <wp:effectExtent l="0" t="0" r="2540" b="0"/>
            <wp:docPr id="12" name="图片 12" descr="C:\Users\DELL\AppData\Roaming\Tencent\QQTempSys\)P(GL2IKXKEZT1%LHHGO0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DELL\AppData\Roaming\Tencent\QQTempSys\)P(GL2IKXKEZT1%LHHGO01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261" cy="186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62" w:rsidRDefault="00C3410F">
      <w:pPr>
        <w:pStyle w:val="a8"/>
        <w:widowControl/>
        <w:spacing w:beforeAutospacing="0" w:after="60" w:afterAutospacing="0" w:line="360" w:lineRule="auto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图</w:t>
      </w:r>
      <w:r>
        <w:rPr>
          <w:rFonts w:ascii="宋体" w:eastAsia="宋体" w:hAnsi="宋体"/>
          <w:sz w:val="21"/>
          <w:szCs w:val="21"/>
        </w:rPr>
        <w:t>1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7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在图示区域海岸线变化最快的时段，该区域可能经历了（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．强烈的地震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．剧烈的海啸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．频发的飓风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．汹涌的洪水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8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判断甲水域是湖泊而非海湾的依据是（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①</w:t>
      </w:r>
      <w:r>
        <w:rPr>
          <w:rFonts w:ascii="宋体" w:eastAsia="宋体" w:hAnsi="宋体"/>
          <w:sz w:val="21"/>
          <w:szCs w:val="21"/>
        </w:rPr>
        <w:t>甲水域北岸岸线基本稳定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/>
          <w:sz w:val="21"/>
          <w:szCs w:val="21"/>
        </w:rPr>
        <w:t>百年来变动的海岸线近似平直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/>
          <w:sz w:val="21"/>
          <w:szCs w:val="21"/>
        </w:rPr>
        <w:t>甲水域有河流汇入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</w:t>
      </w:r>
      <w:r>
        <w:rPr>
          <w:rFonts w:ascii="宋体" w:eastAsia="宋体" w:hAnsi="宋体"/>
          <w:sz w:val="21"/>
          <w:szCs w:val="21"/>
        </w:rPr>
        <w:t>甲水域呈半圆形形态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①②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②③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③④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t>①④</w:t>
      </w:r>
    </w:p>
    <w:p w:rsidR="00470962" w:rsidRDefault="00C3410F">
      <w:pPr>
        <w:pStyle w:val="a8"/>
        <w:widowControl/>
        <w:spacing w:beforeAutospacing="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蒙古族将靠近山林的优质草原称为杭盖草原。杭盖草原地形和缓，多由缓丘和河谷组成。缓丘上牧草葱郁，河谷中的牧草更加繁茂。通常鼠类打洞、啃食等对草原多有破坏，而杭盖草原的河谷中鼠害却很轻。杭盖草原是古时游牧民族最喜爱的牧场。据此完成</w:t>
      </w:r>
      <w:r>
        <w:rPr>
          <w:rFonts w:ascii="宋体" w:eastAsia="宋体" w:hAnsi="宋体"/>
          <w:sz w:val="21"/>
          <w:szCs w:val="21"/>
        </w:rPr>
        <w:t>9 ~ 11</w:t>
      </w:r>
      <w:r>
        <w:rPr>
          <w:rFonts w:ascii="宋体" w:eastAsia="宋体" w:hAnsi="宋体"/>
          <w:sz w:val="21"/>
          <w:szCs w:val="21"/>
        </w:rPr>
        <w:t>题。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9</w:t>
      </w:r>
      <w:r>
        <w:rPr>
          <w:rFonts w:ascii="宋体" w:eastAsia="宋体" w:hAnsi="宋体"/>
          <w:sz w:val="21"/>
          <w:szCs w:val="21"/>
        </w:rPr>
        <w:t>．杭盖草原附近山地对古时游牧民族越冬的重要性在于（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．提供水源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．挡风保暖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．食物丰富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．围猎场所大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/>
          <w:sz w:val="21"/>
          <w:szCs w:val="21"/>
        </w:rPr>
        <w:t>．相对于周边坡度较大的草原，杭盖草原的缓丘牧草生长更好，是因为缓丘上（</w:t>
      </w:r>
      <w:r>
        <w:rPr>
          <w:rFonts w:ascii="宋体" w:eastAsia="宋体" w:hAnsi="宋体"/>
          <w:sz w:val="21"/>
          <w:szCs w:val="21"/>
        </w:rPr>
        <w:t xml:space="preserve">    </w:t>
      </w:r>
      <w:r>
        <w:rPr>
          <w:rFonts w:ascii="宋体" w:eastAsia="宋体" w:hAnsi="宋体"/>
          <w:sz w:val="21"/>
          <w:szCs w:val="21"/>
        </w:rPr>
        <w:t>）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．降水较多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．蒸发较弱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．温度较高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．径流较少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11</w:t>
      </w:r>
      <w:r>
        <w:rPr>
          <w:rFonts w:ascii="宋体" w:eastAsia="宋体" w:hAnsi="宋体"/>
          <w:sz w:val="21"/>
          <w:szCs w:val="21"/>
        </w:rPr>
        <w:t>．杭盖草原的河谷鼠害很轻，是因为河谷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．缺乏鼠类食物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．冷空气易集聚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．地下水位高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．鼠类天敌多</w:t>
      </w:r>
    </w:p>
    <w:p w:rsidR="00470962" w:rsidRDefault="00470962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Style w:val="a9"/>
          <w:rFonts w:ascii="宋体" w:eastAsia="宋体" w:hAnsi="宋体"/>
          <w:sz w:val="21"/>
          <w:szCs w:val="21"/>
        </w:rPr>
      </w:pPr>
      <w:r>
        <w:rPr>
          <w:rStyle w:val="a9"/>
          <w:rFonts w:ascii="宋体" w:eastAsia="宋体" w:hAnsi="宋体"/>
          <w:sz w:val="21"/>
          <w:szCs w:val="21"/>
        </w:rPr>
        <w:t>二、非选择题：共</w:t>
      </w:r>
      <w:r>
        <w:rPr>
          <w:rStyle w:val="a9"/>
          <w:rFonts w:ascii="宋体" w:eastAsia="宋体" w:hAnsi="宋体"/>
          <w:sz w:val="21"/>
          <w:szCs w:val="21"/>
        </w:rPr>
        <w:t>56</w:t>
      </w:r>
      <w:r>
        <w:rPr>
          <w:rStyle w:val="a9"/>
          <w:rFonts w:ascii="宋体" w:eastAsia="宋体" w:hAnsi="宋体"/>
          <w:sz w:val="21"/>
          <w:szCs w:val="21"/>
        </w:rPr>
        <w:t>分。第</w:t>
      </w:r>
      <w:r>
        <w:rPr>
          <w:rStyle w:val="a9"/>
          <w:rFonts w:ascii="宋体" w:eastAsia="宋体" w:hAnsi="宋体"/>
          <w:sz w:val="21"/>
          <w:szCs w:val="21"/>
        </w:rPr>
        <w:t>36</w:t>
      </w:r>
      <w:r>
        <w:rPr>
          <w:rStyle w:val="a9"/>
          <w:rFonts w:ascii="宋体" w:eastAsia="宋体" w:hAnsi="宋体"/>
          <w:sz w:val="21"/>
          <w:szCs w:val="21"/>
        </w:rPr>
        <w:t>～</w:t>
      </w:r>
      <w:r>
        <w:rPr>
          <w:rStyle w:val="a9"/>
          <w:rFonts w:ascii="宋体" w:eastAsia="宋体" w:hAnsi="宋体"/>
          <w:sz w:val="21"/>
          <w:szCs w:val="21"/>
        </w:rPr>
        <w:t>37</w:t>
      </w:r>
      <w:r>
        <w:rPr>
          <w:rStyle w:val="a9"/>
          <w:rFonts w:ascii="宋体" w:eastAsia="宋体" w:hAnsi="宋体"/>
          <w:sz w:val="21"/>
          <w:szCs w:val="21"/>
        </w:rPr>
        <w:t>题为必考题，每个试题考生都必须作答。第</w:t>
      </w:r>
      <w:r>
        <w:rPr>
          <w:rStyle w:val="a9"/>
          <w:rFonts w:ascii="宋体" w:eastAsia="宋体" w:hAnsi="宋体"/>
          <w:sz w:val="21"/>
          <w:szCs w:val="21"/>
        </w:rPr>
        <w:t>43</w:t>
      </w:r>
      <w:r>
        <w:rPr>
          <w:rStyle w:val="a9"/>
          <w:rFonts w:ascii="宋体" w:eastAsia="宋体" w:hAnsi="宋体"/>
          <w:sz w:val="21"/>
          <w:szCs w:val="21"/>
        </w:rPr>
        <w:t>～</w:t>
      </w:r>
      <w:r>
        <w:rPr>
          <w:rStyle w:val="a9"/>
          <w:rFonts w:ascii="宋体" w:eastAsia="宋体" w:hAnsi="宋体"/>
          <w:sz w:val="21"/>
          <w:szCs w:val="21"/>
        </w:rPr>
        <w:t>44</w:t>
      </w:r>
      <w:r>
        <w:rPr>
          <w:rStyle w:val="a9"/>
          <w:rFonts w:ascii="宋体" w:eastAsia="宋体" w:hAnsi="宋体"/>
          <w:sz w:val="21"/>
          <w:szCs w:val="21"/>
        </w:rPr>
        <w:t>题为选做题，考生根据要求作答。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Style w:val="a9"/>
          <w:rFonts w:ascii="宋体" w:eastAsia="宋体" w:hAnsi="宋体"/>
          <w:sz w:val="21"/>
          <w:szCs w:val="21"/>
        </w:rPr>
        <w:t>（一）必考题：共</w:t>
      </w:r>
      <w:r>
        <w:rPr>
          <w:rStyle w:val="a9"/>
          <w:rFonts w:ascii="宋体" w:eastAsia="宋体" w:hAnsi="宋体"/>
          <w:sz w:val="21"/>
          <w:szCs w:val="21"/>
        </w:rPr>
        <w:t>56</w:t>
      </w:r>
      <w:r>
        <w:rPr>
          <w:rStyle w:val="a9"/>
          <w:rFonts w:ascii="宋体" w:eastAsia="宋体" w:hAnsi="宋体"/>
          <w:sz w:val="21"/>
          <w:szCs w:val="21"/>
        </w:rPr>
        <w:t>分。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Style w:val="a9"/>
          <w:rFonts w:ascii="宋体" w:eastAsia="宋体" w:hAnsi="宋体"/>
          <w:sz w:val="21"/>
          <w:szCs w:val="21"/>
        </w:rPr>
        <w:lastRenderedPageBreak/>
        <w:t>36</w:t>
      </w:r>
      <w:r>
        <w:rPr>
          <w:rStyle w:val="a9"/>
          <w:rFonts w:ascii="宋体" w:eastAsia="宋体" w:hAnsi="宋体"/>
          <w:sz w:val="21"/>
          <w:szCs w:val="21"/>
        </w:rPr>
        <w:t>．阅读图文材料，完成下列要求。</w:t>
      </w:r>
      <w:r>
        <w:rPr>
          <w:rStyle w:val="a9"/>
          <w:rFonts w:ascii="宋体" w:eastAsia="宋体" w:hAnsi="宋体"/>
          <w:sz w:val="21"/>
          <w:szCs w:val="21"/>
        </w:rPr>
        <w:t>(22</w:t>
      </w:r>
      <w:r>
        <w:rPr>
          <w:rStyle w:val="a9"/>
          <w:rFonts w:ascii="宋体" w:eastAsia="宋体" w:hAnsi="宋体"/>
          <w:sz w:val="21"/>
          <w:szCs w:val="21"/>
        </w:rPr>
        <w:t>分</w:t>
      </w:r>
      <w:r>
        <w:rPr>
          <w:rStyle w:val="a9"/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Autospacing="0"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 w:val="21"/>
          <w:szCs w:val="21"/>
        </w:rPr>
        <w:t>瑞士矿产资源贫乏，经济发达。年降水量</w:t>
      </w:r>
      <w:r>
        <w:rPr>
          <w:rFonts w:ascii="宋体" w:eastAsia="宋体" w:hAnsi="宋体"/>
          <w:sz w:val="21"/>
          <w:szCs w:val="21"/>
        </w:rPr>
        <w:t>1000</w:t>
      </w:r>
      <w:r>
        <w:rPr>
          <w:rFonts w:ascii="宋体" w:eastAsia="宋体" w:hAnsi="宋体"/>
          <w:sz w:val="21"/>
          <w:szCs w:val="21"/>
        </w:rPr>
        <w:t>毫米以上，河湖众多。工业、金融业、旅游业为经济的三大支柱，工业以</w:t>
      </w:r>
      <w:proofErr w:type="gramStart"/>
      <w:r>
        <w:rPr>
          <w:rFonts w:ascii="宋体" w:eastAsia="宋体" w:hAnsi="宋体"/>
          <w:sz w:val="21"/>
          <w:szCs w:val="21"/>
        </w:rPr>
        <w:t>低原料</w:t>
      </w:r>
      <w:proofErr w:type="gramEnd"/>
      <w:r>
        <w:rPr>
          <w:rFonts w:ascii="宋体" w:eastAsia="宋体" w:hAnsi="宋体"/>
          <w:sz w:val="21"/>
          <w:szCs w:val="21"/>
        </w:rPr>
        <w:t>消耗的机械制造、精细化工、医药、钟表等为主，技术先进。有完整的金融法律和监管体系，提供广泛、专业、高度国际化的金融服务。在能源消费构成中，水电占</w:t>
      </w:r>
      <w:r>
        <w:rPr>
          <w:rFonts w:ascii="宋体" w:eastAsia="宋体" w:hAnsi="宋体"/>
          <w:sz w:val="21"/>
          <w:szCs w:val="21"/>
        </w:rPr>
        <w:t>30%</w:t>
      </w:r>
      <w:r>
        <w:rPr>
          <w:rFonts w:ascii="宋体" w:eastAsia="宋体" w:hAnsi="宋体"/>
          <w:sz w:val="21"/>
          <w:szCs w:val="21"/>
        </w:rPr>
        <w:t>以上。图</w:t>
      </w:r>
      <w:r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示意瑞士的地形。</w:t>
      </w:r>
    </w:p>
    <w:p w:rsidR="00470962" w:rsidRDefault="00C3410F">
      <w:pPr>
        <w:widowControl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</w:rPr>
        <w:drawing>
          <wp:inline distT="0" distB="0" distL="0" distR="0">
            <wp:extent cx="5187315" cy="246761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58" cy="247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62" w:rsidRDefault="00C3410F">
      <w:pPr>
        <w:pStyle w:val="a8"/>
        <w:widowControl/>
        <w:spacing w:beforeAutospacing="0" w:afterAutospacing="0" w:line="360" w:lineRule="auto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图</w:t>
      </w:r>
      <w:r>
        <w:rPr>
          <w:rFonts w:ascii="宋体" w:eastAsia="宋体" w:hAnsi="宋体"/>
          <w:sz w:val="21"/>
          <w:szCs w:val="21"/>
        </w:rPr>
        <w:t>4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）说明瑞士利用优势自然资源发展的非农产业。</w:t>
      </w:r>
      <w:r>
        <w:rPr>
          <w:rFonts w:ascii="宋体" w:eastAsia="宋体" w:hAnsi="宋体"/>
          <w:sz w:val="21"/>
          <w:szCs w:val="21"/>
        </w:rPr>
        <w:t>(6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）分析瑞士主要发展</w:t>
      </w:r>
      <w:proofErr w:type="gramStart"/>
      <w:r>
        <w:rPr>
          <w:rFonts w:ascii="宋体" w:eastAsia="宋体" w:hAnsi="宋体"/>
          <w:sz w:val="21"/>
          <w:szCs w:val="21"/>
        </w:rPr>
        <w:t>低原料</w:t>
      </w:r>
      <w:proofErr w:type="gramEnd"/>
      <w:r>
        <w:rPr>
          <w:rFonts w:ascii="宋体" w:eastAsia="宋体" w:hAnsi="宋体"/>
          <w:sz w:val="21"/>
          <w:szCs w:val="21"/>
        </w:rPr>
        <w:t>消耗的工业部门的原因。</w:t>
      </w:r>
      <w:r>
        <w:rPr>
          <w:rFonts w:ascii="宋体" w:eastAsia="宋体" w:hAnsi="宋体"/>
          <w:sz w:val="21"/>
          <w:szCs w:val="21"/>
        </w:rPr>
        <w:t>(8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）指出瑞士发展金融业的自身优势因素。</w:t>
      </w:r>
      <w:r>
        <w:rPr>
          <w:rFonts w:ascii="宋体" w:eastAsia="宋体" w:hAnsi="宋体"/>
          <w:sz w:val="21"/>
          <w:szCs w:val="21"/>
        </w:rPr>
        <w:t>(4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）简述瑞士经济发展特点给区域经济发展带来的启示。</w:t>
      </w:r>
      <w:r>
        <w:rPr>
          <w:rFonts w:ascii="宋体" w:eastAsia="宋体" w:hAnsi="宋体"/>
          <w:sz w:val="21"/>
          <w:szCs w:val="21"/>
        </w:rPr>
        <w:t>(4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470962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Style w:val="a9"/>
          <w:rFonts w:ascii="宋体" w:eastAsia="宋体" w:hAnsi="宋体"/>
          <w:sz w:val="21"/>
          <w:szCs w:val="21"/>
        </w:rPr>
        <w:t>37</w:t>
      </w:r>
      <w:r>
        <w:rPr>
          <w:rStyle w:val="a9"/>
          <w:rFonts w:ascii="宋体" w:eastAsia="宋体" w:hAnsi="宋体"/>
          <w:sz w:val="21"/>
          <w:szCs w:val="21"/>
        </w:rPr>
        <w:t>．阅读图文材料，完成下列要求。</w:t>
      </w:r>
      <w:r>
        <w:rPr>
          <w:rStyle w:val="a9"/>
          <w:rFonts w:ascii="宋体" w:eastAsia="宋体" w:hAnsi="宋体"/>
          <w:sz w:val="21"/>
          <w:szCs w:val="21"/>
        </w:rPr>
        <w:t>(24</w:t>
      </w:r>
      <w:r>
        <w:rPr>
          <w:rStyle w:val="a9"/>
          <w:rFonts w:ascii="宋体" w:eastAsia="宋体" w:hAnsi="宋体"/>
          <w:sz w:val="21"/>
          <w:szCs w:val="21"/>
        </w:rPr>
        <w:t>分</w:t>
      </w:r>
      <w:r>
        <w:rPr>
          <w:rStyle w:val="a9"/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2002</w:t>
      </w:r>
      <w:r>
        <w:rPr>
          <w:rFonts w:ascii="宋体" w:eastAsia="宋体" w:hAnsi="宋体"/>
          <w:sz w:val="21"/>
          <w:szCs w:val="21"/>
        </w:rPr>
        <w:t>年</w:t>
      </w:r>
      <w:r>
        <w:rPr>
          <w:rFonts w:ascii="宋体" w:eastAsia="宋体" w:hAnsi="宋体"/>
          <w:sz w:val="21"/>
          <w:szCs w:val="21"/>
        </w:rPr>
        <w:t>4~10</w:t>
      </w:r>
      <w:r>
        <w:rPr>
          <w:rFonts w:ascii="宋体" w:eastAsia="宋体" w:hAnsi="宋体"/>
          <w:sz w:val="21"/>
          <w:szCs w:val="21"/>
        </w:rPr>
        <w:t>月，澳大利亚大部分地区气候严重异常。同年</w:t>
      </w:r>
      <w:r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22~23</w:t>
      </w:r>
      <w:r>
        <w:rPr>
          <w:rFonts w:ascii="宋体" w:eastAsia="宋体" w:hAnsi="宋体"/>
          <w:sz w:val="21"/>
          <w:szCs w:val="21"/>
        </w:rPr>
        <w:t>日，一场沙尘量创纪录的沙尘暴袭击了澳大利亚部分地区。图</w:t>
      </w: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示意澳大利亚及周边区域当地时间</w:t>
      </w:r>
      <w:r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23</w:t>
      </w:r>
      <w:r>
        <w:rPr>
          <w:rFonts w:ascii="宋体" w:eastAsia="宋体" w:hAnsi="宋体"/>
          <w:sz w:val="21"/>
          <w:szCs w:val="21"/>
        </w:rPr>
        <w:t>日</w:t>
      </w:r>
      <w:r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时的海平面气压分布。</w:t>
      </w:r>
    </w:p>
    <w:p w:rsidR="00470962" w:rsidRDefault="00C3410F">
      <w:pPr>
        <w:widowControl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</w:rPr>
        <w:lastRenderedPageBreak/>
        <w:drawing>
          <wp:inline distT="0" distB="0" distL="0" distR="0">
            <wp:extent cx="4570730" cy="238633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47" cy="239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62" w:rsidRDefault="00C3410F">
      <w:pPr>
        <w:pStyle w:val="a8"/>
        <w:widowControl/>
        <w:spacing w:beforeAutospacing="0" w:after="60" w:afterAutospacing="0" w:line="360" w:lineRule="auto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图</w:t>
      </w:r>
      <w:r>
        <w:rPr>
          <w:rFonts w:ascii="宋体" w:eastAsia="宋体" w:hAnsi="宋体"/>
          <w:sz w:val="21"/>
          <w:szCs w:val="21"/>
        </w:rPr>
        <w:t>5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）推测当年</w:t>
      </w:r>
      <w:r>
        <w:rPr>
          <w:rFonts w:ascii="宋体" w:eastAsia="宋体" w:hAnsi="宋体"/>
          <w:sz w:val="21"/>
          <w:szCs w:val="21"/>
        </w:rPr>
        <w:t>4 ~ 10</w:t>
      </w:r>
      <w:r>
        <w:rPr>
          <w:rFonts w:ascii="宋体" w:eastAsia="宋体" w:hAnsi="宋体"/>
          <w:sz w:val="21"/>
          <w:szCs w:val="21"/>
        </w:rPr>
        <w:t>月澳大利亚气候异常的表现，并分析其在沙尘暴形成中的作用。</w:t>
      </w:r>
      <w:r>
        <w:rPr>
          <w:rFonts w:ascii="宋体" w:eastAsia="宋体" w:hAnsi="宋体"/>
          <w:sz w:val="21"/>
          <w:szCs w:val="21"/>
        </w:rPr>
        <w:t>(6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）在图示甲乙丙丁</w:t>
      </w:r>
      <w:proofErr w:type="gramStart"/>
      <w:r>
        <w:rPr>
          <w:rFonts w:ascii="宋体" w:eastAsia="宋体" w:hAnsi="宋体"/>
          <w:sz w:val="21"/>
          <w:szCs w:val="21"/>
        </w:rPr>
        <w:t>四地区</w:t>
      </w:r>
      <w:proofErr w:type="gramEnd"/>
      <w:r>
        <w:rPr>
          <w:rFonts w:ascii="宋体" w:eastAsia="宋体" w:hAnsi="宋体"/>
          <w:sz w:val="21"/>
          <w:szCs w:val="21"/>
        </w:rPr>
        <w:t>中，指出</w:t>
      </w:r>
      <w:r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23</w:t>
      </w:r>
      <w:r>
        <w:rPr>
          <w:rFonts w:ascii="宋体" w:eastAsia="宋体" w:hAnsi="宋体"/>
          <w:sz w:val="21"/>
          <w:szCs w:val="21"/>
        </w:rPr>
        <w:t>日</w:t>
      </w:r>
      <w:r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时正在经历沙尘暴的地区并说明判断依据。</w:t>
      </w:r>
      <w:r>
        <w:rPr>
          <w:rFonts w:ascii="宋体" w:eastAsia="宋体" w:hAnsi="宋体"/>
          <w:sz w:val="21"/>
          <w:szCs w:val="21"/>
        </w:rPr>
        <w:t>(6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）指</w:t>
      </w:r>
      <w:r>
        <w:rPr>
          <w:rFonts w:ascii="宋体" w:eastAsia="宋体" w:hAnsi="宋体"/>
          <w:sz w:val="21"/>
          <w:szCs w:val="21"/>
        </w:rPr>
        <w:t>出经历此次沙尘暴的地区</w:t>
      </w:r>
      <w:r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22 ~ 23</w:t>
      </w:r>
      <w:r>
        <w:rPr>
          <w:rFonts w:ascii="宋体" w:eastAsia="宋体" w:hAnsi="宋体"/>
          <w:sz w:val="21"/>
          <w:szCs w:val="21"/>
        </w:rPr>
        <w:t>日风向、气温的变化。</w:t>
      </w:r>
      <w:r>
        <w:rPr>
          <w:rFonts w:ascii="宋体" w:eastAsia="宋体" w:hAnsi="宋体"/>
          <w:sz w:val="21"/>
          <w:szCs w:val="21"/>
        </w:rPr>
        <w:t>(6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）对于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人类是否应干预沙尘暴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这一问题，提出自己的观点，并说明理由。</w:t>
      </w:r>
      <w:r>
        <w:rPr>
          <w:rFonts w:ascii="宋体" w:eastAsia="宋体" w:hAnsi="宋体"/>
          <w:sz w:val="21"/>
          <w:szCs w:val="21"/>
        </w:rPr>
        <w:t>(6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43</w:t>
      </w:r>
      <w:r>
        <w:rPr>
          <w:rFonts w:ascii="宋体" w:eastAsia="宋体" w:hAnsi="宋体"/>
          <w:sz w:val="21"/>
          <w:szCs w:val="21"/>
        </w:rPr>
        <w:t>．【地理</w:t>
      </w:r>
      <w:r>
        <w:rPr>
          <w:rFonts w:ascii="宋体" w:eastAsia="宋体" w:hAnsi="宋体"/>
          <w:sz w:val="21"/>
          <w:szCs w:val="21"/>
        </w:rPr>
        <w:t>——</w:t>
      </w:r>
      <w:r>
        <w:rPr>
          <w:rFonts w:ascii="宋体" w:eastAsia="宋体" w:hAnsi="宋体"/>
          <w:sz w:val="21"/>
          <w:szCs w:val="21"/>
        </w:rPr>
        <w:t>选修</w:t>
      </w:r>
      <w:r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：旅游地理】</w:t>
      </w:r>
      <w:r>
        <w:rPr>
          <w:rFonts w:ascii="宋体" w:eastAsia="宋体" w:hAnsi="宋体"/>
          <w:sz w:val="21"/>
          <w:szCs w:val="21"/>
        </w:rPr>
        <w:t>(10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位于陕西省安康市汉阴县的</w:t>
      </w:r>
      <w:proofErr w:type="gramStart"/>
      <w:r>
        <w:rPr>
          <w:rFonts w:ascii="宋体" w:eastAsia="宋体" w:hAnsi="宋体"/>
          <w:sz w:val="21"/>
          <w:szCs w:val="21"/>
        </w:rPr>
        <w:t>凤堰古</w:t>
      </w:r>
      <w:proofErr w:type="gramEnd"/>
      <w:r>
        <w:rPr>
          <w:rFonts w:ascii="宋体" w:eastAsia="宋体" w:hAnsi="宋体"/>
          <w:sz w:val="21"/>
          <w:szCs w:val="21"/>
        </w:rPr>
        <w:t>梯田，是目前已发现的秦巴山区面积最大、保存最完整的清代梯田。在总面积约</w:t>
      </w:r>
      <w:r>
        <w:rPr>
          <w:rFonts w:ascii="宋体" w:eastAsia="宋体" w:hAnsi="宋体"/>
          <w:sz w:val="21"/>
          <w:szCs w:val="21"/>
        </w:rPr>
        <w:t>800</w:t>
      </w:r>
      <w:r>
        <w:rPr>
          <w:rFonts w:ascii="宋体" w:eastAsia="宋体" w:hAnsi="宋体"/>
          <w:sz w:val="21"/>
          <w:szCs w:val="21"/>
        </w:rPr>
        <w:t>公顷的古梯田保护区内，分布有自清乾隆年间以来修建的古建筑民居群落、古寨堡、古庙宇、古堰渠、古塘坝等文物遗存。</w:t>
      </w:r>
      <w:r>
        <w:rPr>
          <w:rFonts w:ascii="宋体" w:eastAsia="宋体" w:hAnsi="宋体"/>
          <w:sz w:val="21"/>
          <w:szCs w:val="21"/>
        </w:rPr>
        <w:t>2019</w:t>
      </w:r>
      <w:r>
        <w:rPr>
          <w:rFonts w:ascii="宋体" w:eastAsia="宋体" w:hAnsi="宋体"/>
          <w:sz w:val="21"/>
          <w:szCs w:val="21"/>
        </w:rPr>
        <w:t>年，</w:t>
      </w:r>
      <w:proofErr w:type="gramStart"/>
      <w:r>
        <w:rPr>
          <w:rFonts w:ascii="宋体" w:eastAsia="宋体" w:hAnsi="宋体"/>
          <w:sz w:val="21"/>
          <w:szCs w:val="21"/>
        </w:rPr>
        <w:t>凤堰古</w:t>
      </w:r>
      <w:proofErr w:type="gramEnd"/>
      <w:r>
        <w:rPr>
          <w:rFonts w:ascii="宋体" w:eastAsia="宋体" w:hAnsi="宋体"/>
          <w:sz w:val="21"/>
          <w:szCs w:val="21"/>
        </w:rPr>
        <w:t>梯田被列为全国重点文物保护单位。以古梯田为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展品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，以秀美的自然风光为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展厅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，</w:t>
      </w:r>
      <w:proofErr w:type="gramStart"/>
      <w:r>
        <w:rPr>
          <w:rFonts w:ascii="宋体" w:eastAsia="宋体" w:hAnsi="宋体"/>
          <w:sz w:val="21"/>
          <w:szCs w:val="21"/>
        </w:rPr>
        <w:t>凤堰古</w:t>
      </w:r>
      <w:proofErr w:type="gramEnd"/>
      <w:r>
        <w:rPr>
          <w:rFonts w:ascii="宋体" w:eastAsia="宋体" w:hAnsi="宋体"/>
          <w:sz w:val="21"/>
          <w:szCs w:val="21"/>
        </w:rPr>
        <w:t>梯田被打造</w:t>
      </w:r>
      <w:proofErr w:type="gramStart"/>
      <w:r>
        <w:rPr>
          <w:rFonts w:ascii="宋体" w:eastAsia="宋体" w:hAnsi="宋体"/>
          <w:sz w:val="21"/>
          <w:szCs w:val="21"/>
        </w:rPr>
        <w:t>成保</w:t>
      </w:r>
      <w:proofErr w:type="gramEnd"/>
      <w:r>
        <w:rPr>
          <w:rFonts w:ascii="宋体" w:eastAsia="宋体" w:hAnsi="宋体"/>
          <w:sz w:val="21"/>
          <w:szCs w:val="21"/>
        </w:rPr>
        <w:t>护和展示原生态生活方式、促进村镇科学发展的开放式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生态博物馆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。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b/>
          <w:sz w:val="21"/>
          <w:szCs w:val="21"/>
        </w:rPr>
      </w:pPr>
      <w:r>
        <w:rPr>
          <w:rStyle w:val="a9"/>
          <w:rFonts w:ascii="宋体" w:eastAsia="宋体" w:hAnsi="宋体"/>
          <w:b w:val="0"/>
          <w:sz w:val="21"/>
          <w:szCs w:val="21"/>
        </w:rPr>
        <w:t>提出该开放式</w:t>
      </w:r>
      <w:r>
        <w:rPr>
          <w:rStyle w:val="a9"/>
          <w:rFonts w:ascii="宋体" w:eastAsia="宋体" w:hAnsi="宋体"/>
          <w:b w:val="0"/>
          <w:sz w:val="21"/>
          <w:szCs w:val="21"/>
        </w:rPr>
        <w:t>“</w:t>
      </w:r>
      <w:r>
        <w:rPr>
          <w:rStyle w:val="a9"/>
          <w:rFonts w:ascii="宋体" w:eastAsia="宋体" w:hAnsi="宋体"/>
          <w:b w:val="0"/>
          <w:sz w:val="21"/>
          <w:szCs w:val="21"/>
        </w:rPr>
        <w:t>生态博物馆</w:t>
      </w:r>
      <w:r>
        <w:rPr>
          <w:rStyle w:val="a9"/>
          <w:rFonts w:ascii="宋体" w:eastAsia="宋体" w:hAnsi="宋体"/>
          <w:b w:val="0"/>
          <w:sz w:val="21"/>
          <w:szCs w:val="21"/>
        </w:rPr>
        <w:t>”</w:t>
      </w:r>
      <w:r>
        <w:rPr>
          <w:rStyle w:val="a9"/>
          <w:rFonts w:ascii="宋体" w:eastAsia="宋体" w:hAnsi="宋体"/>
          <w:b w:val="0"/>
          <w:sz w:val="21"/>
          <w:szCs w:val="21"/>
        </w:rPr>
        <w:t>开展旅游活动的旅游资源保护措施。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44</w:t>
      </w:r>
      <w:r>
        <w:rPr>
          <w:rFonts w:ascii="宋体" w:eastAsia="宋体" w:hAnsi="宋体"/>
          <w:sz w:val="21"/>
          <w:szCs w:val="21"/>
        </w:rPr>
        <w:t>．【地理</w:t>
      </w:r>
      <w:r>
        <w:rPr>
          <w:rFonts w:ascii="宋体" w:eastAsia="宋体" w:hAnsi="宋体"/>
          <w:sz w:val="21"/>
          <w:szCs w:val="21"/>
        </w:rPr>
        <w:t>——</w:t>
      </w:r>
      <w:r>
        <w:rPr>
          <w:rFonts w:ascii="宋体" w:eastAsia="宋体" w:hAnsi="宋体"/>
          <w:sz w:val="21"/>
          <w:szCs w:val="21"/>
        </w:rPr>
        <w:t>选修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/>
          <w:sz w:val="21"/>
          <w:szCs w:val="21"/>
        </w:rPr>
        <w:t>：环境保护】</w:t>
      </w:r>
      <w:r>
        <w:rPr>
          <w:rFonts w:ascii="宋体" w:eastAsia="宋体" w:hAnsi="宋体"/>
          <w:sz w:val="21"/>
          <w:szCs w:val="21"/>
        </w:rPr>
        <w:t>(10</w:t>
      </w:r>
      <w:r>
        <w:rPr>
          <w:rFonts w:ascii="宋体" w:eastAsia="宋体" w:hAnsi="宋体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>)</w:t>
      </w:r>
    </w:p>
    <w:p w:rsidR="00470962" w:rsidRDefault="00C3410F">
      <w:pPr>
        <w:pStyle w:val="a8"/>
        <w:widowControl/>
        <w:spacing w:beforeAutospacing="0" w:after="60" w:afterAutospacing="0"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多氯联苯</w:t>
      </w:r>
      <w:r>
        <w:rPr>
          <w:rFonts w:ascii="宋体" w:eastAsia="宋体" w:hAnsi="宋体"/>
          <w:sz w:val="21"/>
          <w:szCs w:val="21"/>
        </w:rPr>
        <w:t>曾被广泛使用，进入环境后难以降解，被公认为环境污染的元凶之一。美国于</w:t>
      </w:r>
      <w:r>
        <w:rPr>
          <w:rFonts w:ascii="宋体" w:eastAsia="宋体" w:hAnsi="宋体"/>
          <w:sz w:val="21"/>
          <w:szCs w:val="21"/>
        </w:rPr>
        <w:t>1929</w:t>
      </w:r>
      <w:r>
        <w:rPr>
          <w:rFonts w:ascii="宋体" w:eastAsia="宋体" w:hAnsi="宋体"/>
          <w:sz w:val="21"/>
          <w:szCs w:val="21"/>
        </w:rPr>
        <w:t>年最先使用，</w:t>
      </w:r>
      <w:r>
        <w:rPr>
          <w:rFonts w:ascii="宋体" w:eastAsia="宋体" w:hAnsi="宋体"/>
          <w:sz w:val="21"/>
          <w:szCs w:val="21"/>
        </w:rPr>
        <w:t>1978</w:t>
      </w:r>
      <w:r>
        <w:rPr>
          <w:rFonts w:ascii="宋体" w:eastAsia="宋体" w:hAnsi="宋体"/>
          <w:sz w:val="21"/>
          <w:szCs w:val="21"/>
        </w:rPr>
        <w:t>年禁用。时至今日，美国</w:t>
      </w:r>
      <w:proofErr w:type="gramStart"/>
      <w:r>
        <w:rPr>
          <w:rFonts w:ascii="宋体" w:eastAsia="宋体" w:hAnsi="宋体"/>
          <w:sz w:val="21"/>
          <w:szCs w:val="21"/>
        </w:rPr>
        <w:t>某湖虽然</w:t>
      </w:r>
      <w:proofErr w:type="gramEnd"/>
      <w:r>
        <w:rPr>
          <w:rFonts w:ascii="宋体" w:eastAsia="宋体" w:hAnsi="宋体"/>
          <w:sz w:val="21"/>
          <w:szCs w:val="21"/>
        </w:rPr>
        <w:t>鱼类丰富，但由于存在多氯联苯污染，湖边仍立着</w:t>
      </w:r>
      <w:r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/>
          <w:sz w:val="21"/>
          <w:szCs w:val="21"/>
        </w:rPr>
        <w:t>不建议食用鱼类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/>
          <w:sz w:val="21"/>
          <w:szCs w:val="21"/>
        </w:rPr>
        <w:t>的警示牌。</w:t>
      </w:r>
    </w:p>
    <w:p w:rsidR="00470962" w:rsidRDefault="00C3410F">
      <w:pPr>
        <w:pStyle w:val="a8"/>
        <w:widowControl/>
        <w:spacing w:beforeAutospacing="0" w:afterAutospacing="0" w:line="360" w:lineRule="auto"/>
        <w:ind w:firstLine="420"/>
        <w:rPr>
          <w:rStyle w:val="a9"/>
          <w:rFonts w:ascii="宋体" w:eastAsia="宋体" w:hAnsi="宋体"/>
          <w:b w:val="0"/>
          <w:sz w:val="21"/>
          <w:szCs w:val="21"/>
        </w:rPr>
      </w:pPr>
      <w:r>
        <w:rPr>
          <w:rStyle w:val="a9"/>
          <w:rFonts w:ascii="宋体" w:eastAsia="宋体" w:hAnsi="宋体"/>
          <w:b w:val="0"/>
          <w:sz w:val="21"/>
          <w:szCs w:val="21"/>
        </w:rPr>
        <w:t>为分析该湖鱼类体内多氯联苯的来源，列出应采集的样品种类及采样点的位置，并说明理由。</w:t>
      </w:r>
    </w:p>
    <w:p w:rsidR="00470962" w:rsidRDefault="00470962">
      <w:pPr>
        <w:pStyle w:val="a8"/>
        <w:widowControl/>
        <w:spacing w:beforeAutospacing="0" w:afterAutospacing="0" w:line="360" w:lineRule="auto"/>
        <w:ind w:firstLine="420"/>
        <w:rPr>
          <w:rStyle w:val="a9"/>
          <w:rFonts w:ascii="宋体" w:eastAsia="宋体" w:hAnsi="宋体"/>
          <w:b w:val="0"/>
          <w:sz w:val="21"/>
          <w:szCs w:val="21"/>
        </w:rPr>
      </w:pPr>
    </w:p>
    <w:p w:rsidR="00470962" w:rsidRDefault="00470962">
      <w:pPr>
        <w:pStyle w:val="a8"/>
        <w:widowControl/>
        <w:spacing w:beforeAutospacing="0" w:afterAutospacing="0" w:line="360" w:lineRule="auto"/>
        <w:ind w:firstLine="420"/>
        <w:rPr>
          <w:rStyle w:val="a9"/>
          <w:rFonts w:ascii="宋体" w:eastAsia="宋体" w:hAnsi="宋体"/>
          <w:b w:val="0"/>
          <w:sz w:val="21"/>
          <w:szCs w:val="21"/>
        </w:rPr>
      </w:pPr>
    </w:p>
    <w:p w:rsidR="00470962" w:rsidRDefault="00470962">
      <w:pPr>
        <w:spacing w:line="360" w:lineRule="auto"/>
        <w:jc w:val="left"/>
        <w:textAlignment w:val="center"/>
      </w:pPr>
      <w:bookmarkStart w:id="0" w:name="_GoBack"/>
      <w:bookmarkEnd w:id="0"/>
    </w:p>
    <w:sectPr w:rsidR="00470962">
      <w:pgSz w:w="11906" w:h="16838"/>
      <w:pgMar w:top="1440" w:right="1800" w:bottom="1440" w:left="180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fci wne:fciName="DotAccent" wne:swArg="0000"/>
    </wne:keymap>
    <wne:keymap wne:kcmPrimary="0074">
      <wne:fci wne:fciName="IndentFirstLine" wne:swArg="0000"/>
    </wne:keymap>
    <wne:keymap wne:kcmPrimary="0075">
      <wne:acd wne:acdName="acd0"/>
    </wne:keymap>
    <wne:keymap wne:kcmPrimary="0076">
      <wne:acd wne:acdName="acd1"/>
    </wne:keymap>
    <wne:keymap wne:kcmPrimary="0077">
      <wne:acd wne:acdName="acd2"/>
    </wne:keymap>
    <wne:keymap wne:kcmPrimary="022E">
      <wne:wch wne:val="0000FF0E"/>
    </wne:keymap>
    <wne:keymap wne:kcmPrimary="0261">
      <wne:wch wne:val="0000201C"/>
    </wne:keymap>
    <wne:keymap wne:kcmPrimary="0262">
      <wne:wch wne:val="0000201D"/>
    </wne:keymap>
    <wne:keymap wne:kcmPrimary="0263">
      <wne:wch wne:val="000025CB"/>
    </wne:keymap>
    <wne:keymap wne:kcmPrimary="0264">
      <wne:wch wne:val="000025A1"/>
    </wne:keymap>
    <wne:keymap wne:kcmPrimary="0265">
      <wne:wch wne:val="00002103"/>
    </wne:keymap>
    <wne:keymap wne:kcmPrimary="0266">
      <wne:wch wne:val="00002170"/>
    </wne:keymap>
    <wne:keymap wne:kcmPrimary="0267">
      <wne:wch wne:val="00002235"/>
    </wne:keymap>
    <wne:keymap wne:kcmPrimary="0268">
      <wne:wch wne:val="00002234"/>
    </wne:keymap>
    <wne:keymap wne:kcmPrimary="0269">
      <wne:wch wne:val="00002171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d2lTTw==" wne:acdName="acd0" wne:fciIndexBasedOn="0164"/>
    <wne:acd wne:argValue="VABpAG0AZQBzACAATgBlAHcAIABSAG8AbQBhAG4A" wne:acdName="acd1" wne:fciIndexBasedOn="0164"/>
    <wne:acd wne:argValue="i1tTTw==" wne:acdName="acd2" wne:fciIndexBasedOn="0164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I5MmZjNmVmMjYyNjdmYjM4OTNmOWFlMTcyZDUwMDUifQ=="/>
  </w:docVars>
  <w:rsids>
    <w:rsidRoot w:val="00A07DF2"/>
    <w:rsid w:val="00005EBC"/>
    <w:rsid w:val="00042F7E"/>
    <w:rsid w:val="000460FF"/>
    <w:rsid w:val="00054E7B"/>
    <w:rsid w:val="00066BA4"/>
    <w:rsid w:val="00070B48"/>
    <w:rsid w:val="000D278D"/>
    <w:rsid w:val="000D6E81"/>
    <w:rsid w:val="000E4D02"/>
    <w:rsid w:val="000E4FF1"/>
    <w:rsid w:val="000E62E3"/>
    <w:rsid w:val="001177F3"/>
    <w:rsid w:val="0012174B"/>
    <w:rsid w:val="00132853"/>
    <w:rsid w:val="00171458"/>
    <w:rsid w:val="00172DF7"/>
    <w:rsid w:val="00173C1D"/>
    <w:rsid w:val="001764C3"/>
    <w:rsid w:val="0018010E"/>
    <w:rsid w:val="00191C29"/>
    <w:rsid w:val="001C63DA"/>
    <w:rsid w:val="001D0C6F"/>
    <w:rsid w:val="001F2FDD"/>
    <w:rsid w:val="00201A7E"/>
    <w:rsid w:val="00204526"/>
    <w:rsid w:val="00221FC9"/>
    <w:rsid w:val="002223C1"/>
    <w:rsid w:val="00244CEF"/>
    <w:rsid w:val="002457C2"/>
    <w:rsid w:val="00275887"/>
    <w:rsid w:val="002908F0"/>
    <w:rsid w:val="002A0E5D"/>
    <w:rsid w:val="002A1A21"/>
    <w:rsid w:val="002D26C7"/>
    <w:rsid w:val="002F06B2"/>
    <w:rsid w:val="003102DB"/>
    <w:rsid w:val="003511BB"/>
    <w:rsid w:val="003625C4"/>
    <w:rsid w:val="003B1712"/>
    <w:rsid w:val="003C4A95"/>
    <w:rsid w:val="003D0C09"/>
    <w:rsid w:val="003E262F"/>
    <w:rsid w:val="003F07FD"/>
    <w:rsid w:val="004062F6"/>
    <w:rsid w:val="004151FC"/>
    <w:rsid w:val="00430A44"/>
    <w:rsid w:val="00435F83"/>
    <w:rsid w:val="00440FED"/>
    <w:rsid w:val="00444A46"/>
    <w:rsid w:val="00452E21"/>
    <w:rsid w:val="0046214C"/>
    <w:rsid w:val="00470962"/>
    <w:rsid w:val="0049183B"/>
    <w:rsid w:val="004B44B5"/>
    <w:rsid w:val="004D44FD"/>
    <w:rsid w:val="00504E72"/>
    <w:rsid w:val="00524B0F"/>
    <w:rsid w:val="00537FB1"/>
    <w:rsid w:val="0059145F"/>
    <w:rsid w:val="00596076"/>
    <w:rsid w:val="005B2107"/>
    <w:rsid w:val="005B39DB"/>
    <w:rsid w:val="005B49FE"/>
    <w:rsid w:val="005C2124"/>
    <w:rsid w:val="005F1362"/>
    <w:rsid w:val="00605626"/>
    <w:rsid w:val="006071D5"/>
    <w:rsid w:val="0062039B"/>
    <w:rsid w:val="00623C16"/>
    <w:rsid w:val="00624FBC"/>
    <w:rsid w:val="00630951"/>
    <w:rsid w:val="00637D3A"/>
    <w:rsid w:val="00640BF5"/>
    <w:rsid w:val="00647E2D"/>
    <w:rsid w:val="00696978"/>
    <w:rsid w:val="006D5DE9"/>
    <w:rsid w:val="006E1438"/>
    <w:rsid w:val="006F45E0"/>
    <w:rsid w:val="0070015E"/>
    <w:rsid w:val="00700E02"/>
    <w:rsid w:val="00701D6B"/>
    <w:rsid w:val="007061B2"/>
    <w:rsid w:val="00707931"/>
    <w:rsid w:val="00740A09"/>
    <w:rsid w:val="00762E26"/>
    <w:rsid w:val="008028B5"/>
    <w:rsid w:val="00832BD2"/>
    <w:rsid w:val="00832EC9"/>
    <w:rsid w:val="00833A09"/>
    <w:rsid w:val="008422F1"/>
    <w:rsid w:val="0084769A"/>
    <w:rsid w:val="008634CD"/>
    <w:rsid w:val="008731FA"/>
    <w:rsid w:val="00880A38"/>
    <w:rsid w:val="00893DD6"/>
    <w:rsid w:val="008C0B90"/>
    <w:rsid w:val="008D2E94"/>
    <w:rsid w:val="008D3CF9"/>
    <w:rsid w:val="008D5BB4"/>
    <w:rsid w:val="008F2655"/>
    <w:rsid w:val="009214CC"/>
    <w:rsid w:val="0095300F"/>
    <w:rsid w:val="00974E0F"/>
    <w:rsid w:val="00982128"/>
    <w:rsid w:val="00994DD1"/>
    <w:rsid w:val="009A157F"/>
    <w:rsid w:val="009A27BF"/>
    <w:rsid w:val="009B549F"/>
    <w:rsid w:val="009B5666"/>
    <w:rsid w:val="009C4252"/>
    <w:rsid w:val="00A07DF2"/>
    <w:rsid w:val="00A11054"/>
    <w:rsid w:val="00A251AD"/>
    <w:rsid w:val="00A405DB"/>
    <w:rsid w:val="00A46D54"/>
    <w:rsid w:val="00A536B0"/>
    <w:rsid w:val="00A66CBE"/>
    <w:rsid w:val="00A71D29"/>
    <w:rsid w:val="00A92F20"/>
    <w:rsid w:val="00AB3EE3"/>
    <w:rsid w:val="00AD4827"/>
    <w:rsid w:val="00AD633B"/>
    <w:rsid w:val="00AD6B6A"/>
    <w:rsid w:val="00AD6C8D"/>
    <w:rsid w:val="00AF03C8"/>
    <w:rsid w:val="00B40253"/>
    <w:rsid w:val="00B623BE"/>
    <w:rsid w:val="00B73811"/>
    <w:rsid w:val="00B80D67"/>
    <w:rsid w:val="00B8100F"/>
    <w:rsid w:val="00B96924"/>
    <w:rsid w:val="00BA18C4"/>
    <w:rsid w:val="00BA4A82"/>
    <w:rsid w:val="00BB4C8B"/>
    <w:rsid w:val="00BB50C6"/>
    <w:rsid w:val="00BD74B2"/>
    <w:rsid w:val="00BF1D06"/>
    <w:rsid w:val="00C02815"/>
    <w:rsid w:val="00C02FC6"/>
    <w:rsid w:val="00C321EB"/>
    <w:rsid w:val="00C332A9"/>
    <w:rsid w:val="00C3410F"/>
    <w:rsid w:val="00C73BB6"/>
    <w:rsid w:val="00CA4A07"/>
    <w:rsid w:val="00CF62B2"/>
    <w:rsid w:val="00D45089"/>
    <w:rsid w:val="00D51257"/>
    <w:rsid w:val="00D634C2"/>
    <w:rsid w:val="00D756B6"/>
    <w:rsid w:val="00D77F6E"/>
    <w:rsid w:val="00D93851"/>
    <w:rsid w:val="00D97961"/>
    <w:rsid w:val="00DA0796"/>
    <w:rsid w:val="00DA5448"/>
    <w:rsid w:val="00DB6888"/>
    <w:rsid w:val="00DC061C"/>
    <w:rsid w:val="00DC7BD1"/>
    <w:rsid w:val="00DF071B"/>
    <w:rsid w:val="00E22C2C"/>
    <w:rsid w:val="00E63075"/>
    <w:rsid w:val="00E97096"/>
    <w:rsid w:val="00EA0188"/>
    <w:rsid w:val="00EB17B4"/>
    <w:rsid w:val="00EB6917"/>
    <w:rsid w:val="00ED1550"/>
    <w:rsid w:val="00ED4F9A"/>
    <w:rsid w:val="00EE1A37"/>
    <w:rsid w:val="00F02604"/>
    <w:rsid w:val="00F17FAA"/>
    <w:rsid w:val="00F21C80"/>
    <w:rsid w:val="00F26698"/>
    <w:rsid w:val="00F676FD"/>
    <w:rsid w:val="00F72514"/>
    <w:rsid w:val="00F96324"/>
    <w:rsid w:val="00FA0944"/>
    <w:rsid w:val="00FA6947"/>
    <w:rsid w:val="00FB34D2"/>
    <w:rsid w:val="00FB44B6"/>
    <w:rsid w:val="00FB4B17"/>
    <w:rsid w:val="00FC5860"/>
    <w:rsid w:val="00FD377B"/>
    <w:rsid w:val="00FF2D79"/>
    <w:rsid w:val="00FF517A"/>
    <w:rsid w:val="046805DA"/>
    <w:rsid w:val="341076DF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670EA"/>
  <w15:docId w15:val="{823A0DC0-6AD8-4BC7-AA43-0A2F7868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24"/>
    </w:rPr>
  </w:style>
  <w:style w:type="paragraph" w:styleId="ab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B8CF-F4B5-4D5E-B0BE-B9880E23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363</Words>
  <Characters>2070</Characters>
  <Application>Microsoft Office Word</Application>
  <DocSecurity>0</DocSecurity>
  <Lines>17</Lines>
  <Paragraphs>4</Paragraphs>
  <ScaleCrop>false</ScaleCrop>
  <Company>BAIDU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lina32</cp:lastModifiedBy>
  <cp:revision>2</cp:revision>
  <dcterms:created xsi:type="dcterms:W3CDTF">2022-06-13T07:30:00Z</dcterms:created>
  <dcterms:modified xsi:type="dcterms:W3CDTF">2022-06-13T07:30:00Z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C87F2ABAD4824BD4A263A44D149ED971</vt:lpwstr>
  </property>
</Properties>
</file>